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Steuerpflichtigen steht gegen die Heranziehung zur Kirchensteuer als außergerichtlicher Rechtsbehelf der Einspruch zu, der binnen einer Frist von einem Monat seit Bekanntgabe des Steuerbescheides bei der in der Steuerordnung angegebenen Stelle einzulegen ist. Wird die Steuer im Wege des Lohnabzugs erhoben, so ist der Einspruch bis zum Ablauf des Kalendermonats zulässig, der auf den Lohnzahlungszeitraum folgt, in dem der Abzug erfolgt ist.</w:t>
      </w:r>
    </w:p>
    <w:p>
      <w:r>
        <w:t xml:space="preserve">(2) Über den Einspruch entscheidet die in der Steuerordnung bestimmte Stelle. Für das Verfahren gilt der Siebente Teil der Abgabenordnung sinngemäß.</w:t>
      </w:r>
    </w:p>
    <w:p>
      <w:r>
        <w:t xml:space="preserve">(3) Die Vorschriften der Absätze 1 und 2 sind bei Ablehnung von Stundungs- und Erlaßanträgen sinngemäß anzuwenden.</w:t>
      </w:r>
    </w:p>
    <w:p>
      <w:r>
        <w:t xml:space="preserve">(4) In den Fällen der Absätze 1 und 3 ist der Finanzrechtsweg gegeben. Die Vorschriften der Finanzgerichtsordnung in der jeweils geltenden Fassung finden Anwendung, soweit nicht in diesem Gesetz eine besondere Regelung getroffen ist.</w:t>
      </w:r>
    </w:p>
    <w:p>
      <w:r>
        <w:t xml:space="preserve">(5) Beteiligte Behörde (§ 57 der Finanzgerichtsordnung) ist nur diejenige Stelle, die nach der Steuerordnung über den Einspruch (Absatz 2) zu entscheiden hat; § 122 Abs. 2 der Finanzgerichtsordnung bleibt unberührt.</w:t>
      </w:r>
    </w:p>
    <w:p>
      <w:r>
        <w:t xml:space="preserve">(6) Einwendungen gegen die zugrundegelegte Maßstabsteuer (§ 4 Abs. 1 Nr. 1 bis 3) sind unzulässig. Entsprechendes gilt, wenn Bemessungsgrundlage für das besondere Kirchgeld (§ 4 Abs. 1 Nr. 5) das zu versteuernde Einkommen (§ 4 Abs. 2 Satz 2) ist.</w:t>
      </w:r>
    </w:p>
    <w:p>
      <w:r>
        <w:t xml:space="preserve">VII. Öffentlich-rechtliche</w:t>
      </w:r>
    </w:p>
    <w:p>
      <w:r>
        <w:t xml:space="preserve">Religionsgemeinschaften</w:t>
      </w:r>
    </w:p>
    <w:p>
      <w:r>
        <w:rPr>
          <w:color w:val="555555"/>
          <w:sz w:val="17"/>
        </w:rPr>
        <w:t xml:space="preserve">Zitiervorschlag: § 14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