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NW_26714 (Nordrhein-Westfalen) — Benutzungsgebühren</w:t>
      </w:r>
    </w:p>
    <w:p>
      <w:r>
        <w:rPr>
          <w:color w:val="555555"/>
          <w:sz w:val="18"/>
        </w:rPr>
        <w:t xml:space="preserve">KAG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Benutzungsgebühren sind zu erheben, wenn eine Einrichtung oder Anlage überwiegend dem Vorteil einzelner Personen oder Personengruppen dient, sofern nicht ein privatrechtliches Entgelt gefordert wird. Im übrigen können Gebühren erhoben werden. Das veranschlagte Gebührenaufkommen soll die voraussichtlichen Kosten der Einrichtung oder Anlage nicht übersteigen und in den Fällen des Satzes 1 in der Regel decken. § 109 der Gemeindeordnung bleibt unberührt.</w:t>
      </w:r>
    </w:p>
    <w:p>
      <w:r>
        <w:t xml:space="preserve">(2) Kosten im Sinne des Absatzes 1 sind die nach betriebswirtschaftlichen Grundsätzen ansatzfähigen Kosten. Zu den Kosten gehören auch:</w:t>
      </w:r>
    </w:p>
    <w:p>
      <w:r>
        <w:t xml:space="preserve">1. Abschreibungen auf das betriebsnotwendige Anlagevermögen, die nach der mutmaßlichen Nutzungsdauer oder Leistungsmenge gleichmäßig zu bemessen sind; den Abschreibungen sind die fortgeschriebenen Anschaffungs- oder Herstellungskosten oder Wiederbeschaffungszeitwerte zugrunde zu legen,</w:t>
      </w:r>
    </w:p>
    <w:p>
      <w:r>
        <w:t xml:space="preserve">2. eine angemessene Verzinsung des betriebsnotwendigen Kapitals, bei dessen Ermittlung die aus Beiträgen, Zuschüssen und Zuweisungen aufgebrachten Kapitalanteile außer Betracht bleiben, bei der entweder ein einheitlicher Nominalzinssatz oder ein nach Eigen- und Fremdkapital getrennt ermittelter Zinssatz angewandt werden kann; im Fall des einheitlichen Nominalzinssatzes kann der sich aus dem 30-jährigen Durchschnitt der Emissionsrenditen für festverzinsliche Wertpapiere inländischer öffentlicher Emittenten ergebende Nominalzinssatz für die einheitliche Verzinsung des in der Einrichtung gebundenen betriebsnotwendigen Kapitals verwendet werden, im Fall des nach Eigen- und Fremdkapital getrennt ermittelten Zinssatzes kann für den Anteil des in der Einrichtung gebundenen Fremdkapitals der durchschnittliche Fremdkapitalzins und für den Anteil des in der Einrichtung gebundenen Eigenkapitals der sich aus dem 30-jährigen Durchschnitt der Emissionsrenditen für festverzinsliche Wertpapiere inländischer öffentlicher Emittenten ergebende Nominalzinssatz zugrunde gelegt werden, sowie</w:t>
      </w:r>
    </w:p>
    <w:p>
      <w:r>
        <w:t xml:space="preserve">3. Entgelte für die zur Erfüllung der öffentlichen Aufgabe in Anspruch genommenen Leistungen Dritter.</w:t>
      </w:r>
    </w:p>
    <w:p>
      <w:r>
        <w:t xml:space="preserve">Verkürzt sich die Nutzungsdauer eines betriebsnotwendigen Anlageguts, kann der Restbuchwert auf die verkürzte Restnutzungsdauer verteilt werden. Entfällt die Restnutzungsdauer unerwartet und vollständig, kann der Restbuchwert bei der Ermittlung der Kosten als außerordentliche Abschreibung berücksichtigt werden. Soweit die Umsätze von Einrichtungen und Anlagen der Umsatzsteuer unterliegen, können die Gemeinden und Gemeindeverbände die Umsatzsteuer den Gebührenpflichtigen auferlegen.</w:t>
      </w:r>
    </w:p>
    <w:p>
      <w:r>
        <w:t xml:space="preserve">(3) Die Gebühr ist nach der Inanspruchnahme der Einrichtung oder Anlage zu bemessen (Wirklichkeitsmaßstab). Wenn das besonders schwierig oder wirtschaftlich nicht vertretbar ist, kann ein Wahrscheinlichkeitsmaßstab gewählt werden, der nicht in einem offensichtlichen Mißverhältnis zu der Inanspruchnahme stehen darf. Die Erhebung einer Grundgebühr neben der Gebühr nach Satz 1 oder 2 sowie die Erhebung einer Mindestgebühr ist zulässig.</w:t>
      </w:r>
    </w:p>
    <w:p>
      <w:r>
        <w:t xml:space="preserve">(4) Der Gebührenrechnung kann ein Kalkulationszeitraum von höchstens drei Jahren zugrunde gelegt werden. Kostenüberdeckungen am Ende eines Kalkulationszeitraumes sind innerhalb der nächsten vier Jahre auszugleichen. Kostenunterdeckungen sollen innerhalb dieses Zeitraumes ausgeglichen werden. Auf die Gebühren können vom Beginn des Erhebungszeitraumes an angemessene Vorausleistungen verlangt werden.</w:t>
      </w:r>
    </w:p>
    <w:p>
      <w:r>
        <w:t xml:space="preserve">(5) Grundstücksbezogene Benutzungsgebühren ruhen als öffentliche Last auf dem Grundstück.</w:t>
      </w:r>
    </w:p>
    <w:p>
      <w:r>
        <w:t xml:space="preserve">(6) Die bestehenden Vorschriften über die Verleihung des Rechts auf Erhebung von Fähr-, Hafen- und Schleusengeldern und von anderen gleichartigen Verkehrsabgaben sowie über die Feststellung der Tarife hierfür bleiben unberührt.</w:t>
      </w:r>
    </w:p>
    <w:p>
      <w:r>
        <w:rPr>
          <w:color w:val="555555"/>
          <w:sz w:val="17"/>
        </w:rPr>
        <w:t xml:space="preserve">Zitiervorschlag: § 6 NW_26714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https://recht.nulegal.eu/gesetze/NW_26714/6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