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NW_26714 (Nordrhein-Westfalen) — Verwaltungsgebühren</w:t>
      </w:r>
    </w:p>
    <w:p>
      <w:r>
        <w:rPr>
          <w:color w:val="555555"/>
          <w:sz w:val="18"/>
        </w:rPr>
        <w:t xml:space="preserve">KAG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Verwaltungsgebühren dürfen nur erhoben werden, wenn die Leistung der Verwaltung von dem Beteiligten beantragt worden ist oder wenn sie ihn unmittelbar begünstigt.</w:t>
      </w:r>
    </w:p>
    <w:p>
      <w:r>
        <w:t xml:space="preserve">(2) Wird ein Antrag auf eine gebührenpflichtige Leistung abgelehnt oder vor ihrer Beendigung zurückgenommen, so sind 10 bis 75 v. H. der Gebühr zu erheben, die bei ihrer Vornahme zu erheben wäre. Wird der Antrag lediglich wegen Unzuständigkeit abgelehnt, so ist keine Gebühr zu erheben.</w:t>
      </w:r>
    </w:p>
    <w:p>
      <w:r>
        <w:t xml:space="preserve">(3) Für Widerspruchsbescheide darf nur dann eine Gebühr erhoben werden, wenn der Verwaltungsakt, gegen den Widerspruch erhoben wird, gebührenpflichtig ist und wenn und soweit der Widerspruch zurückgewiesen wird. Die Gebühr beträgt höchstens die Hälfte der für den angefochtenen Verwaltungsakt festzusetzenden Gebühr.</w:t>
      </w:r>
    </w:p>
    <w:p>
      <w:r>
        <w:t xml:space="preserve">(4) Das veranschlagte Gebührenaufkommen soll die voraussichtlichen Aufwendungen für den betreffenden Verwaltungsbereich nicht übersteigen.</w:t>
      </w:r>
    </w:p>
    <w:p>
      <w:r>
        <w:t xml:space="preserve">(5) Mündliche Auskünfte sind gebührenfrei.</w:t>
      </w:r>
    </w:p>
    <w:p>
      <w:r>
        <w:t xml:space="preserve">(6) Von Gebühren sind befreit</w:t>
      </w:r>
    </w:p>
    <w:p>
      <w:r>
        <w:t xml:space="preserve">1. das Land, die Gemeinden und Gemeindeverbände, sofern die Leistung der Verwaltung nicht ihre wirtschaftlichen Unternehmen betrifft oder es sich nicht um eine beantragte sonstige Tätigkeit i. S. d. § 4 Abs. 2 auf dem Gebiet der Bauleitplanung, des Kultur-, Tief- und Straßenbau handelt,</w:t>
      </w:r>
    </w:p>
    <w:p>
      <w:r>
        <w:t xml:space="preserve">2. die Bundesrepublik und die anderen Länder, soweit Gegenseitigkeit gewährleistet ist,</w:t>
      </w:r>
    </w:p>
    <w:p>
      <w:r>
        <w:t xml:space="preserve">3. die Kirchen und Religionsgemeinschaften des öffentlichen Rechts, soweit die Leistung der Verwaltung unmittelbar der Durchführung kirchlicher Zwecke i. S. d. § 54 der Abgabenordnung dient.</w:t>
      </w:r>
    </w:p>
    <w:p>
      <w:r>
        <w:t xml:space="preserve">Die Gebührenbefreiung gilt nicht für gemäß § 6 Abs. 1 Satz 2, § 19 Satz 1 ÖGDG erbrachte Leistungen.</w:t>
      </w:r>
    </w:p>
    <w:p>
      <w:r>
        <w:t xml:space="preserve">(7) Besondere bare Auslagen, die im Zusammenhang mit der Leistung entstehen, sind zu ersetzen, auch wenn der Zahlungspflichtige von der Entrichtung der Gebühr befreit ist. Auslagen können auch demjenigen auferlegt werden, der sie durch unbegründete Einwendungen verursacht hat. Zu ersetzen sind insbesondere</w:t>
      </w:r>
    </w:p>
    <w:p>
      <w:r>
        <w:t xml:space="preserve">a) im Einzelfall besonders hohe Telegrafen-, Fernschreib-, Fernsprechgebühren und Zustellungskosten,</w:t>
      </w:r>
    </w:p>
    <w:p>
      <w:r>
        <w:t xml:space="preserve">b) Kosten öffentlicher Bekanntmachungen,</w:t>
      </w:r>
    </w:p>
    <w:p>
      <w:r>
        <w:t xml:space="preserve">c) Zeugen- und Sachverständigenkosten,</w:t>
      </w:r>
    </w:p>
    <w:p>
      <w:r>
        <w:t xml:space="preserve">d) die bei Dienstgeschäften den beteiligten Verwaltungsangehörigen zustehenden Reisekostenvergütungen,</w:t>
      </w:r>
    </w:p>
    <w:p>
      <w:r>
        <w:t xml:space="preserve">e) Kosten der Beförderung oder Verwahrung von Sachen.</w:t>
      </w:r>
    </w:p>
    <w:p>
      <w:r>
        <w:t xml:space="preserve">Für den Ersatz der baren Auslagen gelten die Vorschriften dieses Gesetzes entsprechend.</w:t>
      </w:r>
    </w:p>
    <w:p>
      <w:r>
        <w:rPr>
          <w:color w:val="555555"/>
          <w:sz w:val="17"/>
        </w:rPr>
        <w:t xml:space="preserve">Zitiervorschlag: § 5 NW_26714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