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22a NW_26714 (Nordrhein-Westfalen) — Einschränkung von Grundrechten</w:t>
      </w:r>
    </w:p>
    <w:p>
      <w:r>
        <w:rPr>
          <w:color w:val="555555"/>
          <w:sz w:val="18"/>
        </w:rPr>
        <w:t xml:space="preserve">KAG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Grundrechte auf körperliche Unversehrtheit und Freiheit der Person (Artikel 2 Abs. 2 des Grundgesetzes) und der Unverletzlichkeit der Wohnung (Artikel 13 des Grundgesetzes) werden nach Maßgabe dieses Gesetzes eingeschränkt.</w:t>
      </w:r>
    </w:p>
    <w:p>
      <w:r>
        <w:rPr>
          <w:color w:val="555555"/>
          <w:sz w:val="17"/>
        </w:rPr>
        <w:t xml:space="preserve">Zitiervorschlag: § 22a NW_26714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https://recht.nulegal.eu/gesetze/NW_26714/22a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