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NW_26714 (Nordrhein-Westfalen) — Übergangsvorschrift zur Erhebung der Jagdsteuer</w:t>
      </w:r>
    </w:p>
    <w:p>
      <w:r>
        <w:rPr>
          <w:color w:val="555555"/>
          <w:sz w:val="18"/>
        </w:rPr>
        <w:t xml:space="preserve">KAG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Kreise und kreisfreien Städte sind berechtigt, Jagdsteuern wie folgt zu erheben:</w:t>
      </w:r>
    </w:p>
    <w:p>
      <w:r>
        <w:t xml:space="preserve">ab 1. Januar 2010 in Höhe von 80 %, ab 1. Januar 2011 in Höhe von 55 % und ab 1. Januar 2012 bis 31. Dezember 2012 in Höhe von 30 % des Steuersatzes, den sie zum Stichtag 1. Januar 2009 festgesetzt haben.</w:t>
      </w:r>
    </w:p>
    <w:p>
      <w:r>
        <w:rPr>
          <w:color w:val="555555"/>
          <w:sz w:val="17"/>
        </w:rPr>
        <w:t xml:space="preserve">Zitiervorschlag: § 22 NW_26714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https://recht.nulegal.eu/gesetze/NW_26714/22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