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12a NW_26714 (Nordrhein-Westfalen) — Zeitliche Grenze für die Festsetzung von Abgaben zum Vorteilsausgleich</w:t>
      </w:r>
    </w:p>
    <w:p>
      <w:r>
        <w:rPr>
          <w:color w:val="555555"/>
          <w:sz w:val="18"/>
        </w:rPr>
        <w:t xml:space="preserve">KAG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Abgaben zum Vorteilsausgleich dürfen ohne Rücksicht auf Entstehung der Abgabenschuld mit Ablauf des 20. Kalenderjahres, das auf den Eintritt der Vorteilslage folgt, nicht mehr festgesetzt werden.</w:t>
      </w:r>
    </w:p>
    <w:p>
      <w:r>
        <w:t xml:space="preserve">(2) Absatz 1 gilt auch für Abgabenbescheide, die am 1. Juni 2022 noch nicht bestandskräftig waren.</w:t>
      </w:r>
    </w:p>
    <w:p>
      <w:r>
        <w:t xml:space="preserve">(3) Soweit die Frist des Absatzes 1 mit Ablauf eines Kalenderjahres zwischen 2022 und 2026 endet, verlängert sie sich bis zum 31. Dezember 2027.</w:t>
      </w:r>
    </w:p>
    <w:p>
      <w:r>
        <w:t xml:space="preserve">(4) Sofern Vorausleistungen auf die Abgabe zum Vorteilsausgleich bis zum 1. Juni 2022 erhoben worden sind, jedoch die Festsetzung der endgültigen Abgabe infolge des Ablaufs der Frist des Absatzes 1 in Verbindung mit Absatz 3 ausgeschlossen ist, sind die Vorausleistungen nur in dem Umfang zu erstatten, in dem sie die Höhe der fiktiven endgültigen Abgabe überschreiten. Eine Verzinsung der Erstattungsbeträge findet nicht statt.</w:t>
      </w:r>
    </w:p>
    <w:p>
      <w:r>
        <w:t xml:space="preserve">(5) Soweit für Anlagen keine Abgabe im Sinne der vorstehenden Absätze mehr erhoben werden kann, gelten diese Anlagen als erstmalig hergestellt.</w:t>
      </w:r>
    </w:p>
    <w:p>
      <w:r>
        <w:rPr>
          <w:color w:val="555555"/>
          <w:sz w:val="17"/>
        </w:rPr>
        <w:t xml:space="preserve">Zitiervorschlag: § 12a NW_26714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https://recht.nulegal.eu/gesetze/NW_26714/12a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