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NW_26714 (Nordrhein-Westfalen) — Anwendung der Abgabenordnung</w:t>
      </w:r>
    </w:p>
    <w:p>
      <w:r>
        <w:rPr>
          <w:color w:val="555555"/>
          <w:sz w:val="18"/>
        </w:rPr>
        <w:t xml:space="preserve">KAG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Kommunalabgaben sind die folgenden Bestimmungen der Abgabenordnung in der jeweiligen Fassung entsprechend anzuwenden, soweit nicht dieses Gesetz oder andere Bundes- oder Landesgesetze besondere Vorschriften enthalten:</w:t>
      </w:r>
    </w:p>
    <w:p>
      <w:r>
        <w:t xml:space="preserve">1. aus dem Ersten Teil - Einleitende Vorschriften -</w:t>
      </w:r>
    </w:p>
    <w:p>
      <w:r>
        <w:t xml:space="preserve">a) über den Anwendungsbereich § 2,</w:t>
      </w:r>
    </w:p>
    <w:p>
      <w:r>
        <w:t xml:space="preserve">b) über die steuerlichen Begriffsbestimmungen § 3 Abs. 1, 4 und 5, §§ 4, 5, 7 bis 15,</w:t>
      </w:r>
    </w:p>
    <w:p>
      <w:r>
        <w:t xml:space="preserve">c) über das Steuergeheimnis § 30 mit folgenden Maßgaben:</w:t>
      </w:r>
    </w:p>
    <w:p>
      <w:r>
        <w:t xml:space="preserve">aa) die Vorschrift gilt nur für kommunale Steuern,</w:t>
      </w:r>
    </w:p>
    <w:p>
      <w:r>
        <w:t xml:space="preserve">bb) bei der Hundesteuer darf in Schadensfällen Auskunft über Namen und Anschrift des Hundehalters an Behörden und Schadensbeteiligte gegeben werden,</w:t>
      </w:r>
    </w:p>
    <w:p>
      <w:r>
        <w:t xml:space="preserve">cc) die Entscheidung nach Absatz 4 Nr. 5 Buchstabe c trifft die Vertretung der Körperschaft, der die Abgabe zusteht;</w:t>
      </w:r>
    </w:p>
    <w:p>
      <w:r>
        <w:t xml:space="preserve">d) über die Haftungsbeschränkung für Amtsträger § 32,</w:t>
      </w:r>
    </w:p>
    <w:p>
      <w:r>
        <w:t xml:space="preserve">2. aus dem Zweiten Teil - Steuerschuldrecht -</w:t>
      </w:r>
    </w:p>
    <w:p>
      <w:r>
        <w:t xml:space="preserve">a) über den Steuerpflichtigen §§ 33 bis 36,</w:t>
      </w:r>
    </w:p>
    <w:p>
      <w:r>
        <w:t xml:space="preserve">b) über das Steuerschuldverhältnis §§ 37 bis 49,</w:t>
      </w:r>
    </w:p>
    <w:p>
      <w:r>
        <w:t xml:space="preserve">c) über steuerbegünstigte Zwecke §§ 51 bis 68,</w:t>
      </w:r>
    </w:p>
    <w:p>
      <w:r>
        <w:t xml:space="preserve">d) über die Haftung §§ 69 bis 71, 73 bis 75, 77,</w:t>
      </w:r>
    </w:p>
    <w:p>
      <w:r>
        <w:t xml:space="preserve">3. aus dem Dritten Teil - Allgemeine Verfahrensvorschriften -</w:t>
      </w:r>
    </w:p>
    <w:p>
      <w:r>
        <w:t xml:space="preserve">a) über die Verfahrensgrundsätze §§ 78 bis 81, § 82 Abs. 1 und 2, § 83 Abs. 1 mit der Maßgabe, daß in den Fällen des Satzes 2 die Vertretung der Körperschaft, der die Abgabe zusteht, die Anordnung trifft, §§ 85 bis 93, § 96 Abs. 1 bis Abs. 7 Satz 1 und 2, §§ 97 bis 99, § 101 Abs. 1, §§ 102 bis 109, § 111 Abs. 1 bis 3 und Abs. 5, §§ 112 bis 115, § 117 Abs. 1, 2 und 4,</w:t>
      </w:r>
    </w:p>
    <w:p>
      <w:r>
        <w:t xml:space="preserve">b) über die Verwaltungsakte §§ 118 bis 126 Abs. 2 und §§ 127 bis 133 mit der Maßgabe, dass in § 126 Abs. 2 an die Stelle der Wörter „finanzgerichtliches Verfahren“ die Wörter „verwaltungsgerichtliches Verfahren“ und in § 132 an die Stelle der Wörter „Einspruchsverfahrens“, „finanzgerichtlichen Verfahrens“ und „Einspruch“ die Wörter „Widerspruchsverfahrens“, „verwaltungsgerichtlichen Verfahrens“ und „Widerspruch“ treten,</w:t>
      </w:r>
    </w:p>
    <w:p>
      <w:r>
        <w:t xml:space="preserve">4. aus dem Vierten Teil - Durchführung der Besteuerung -</w:t>
      </w:r>
    </w:p>
    <w:p>
      <w:r>
        <w:t xml:space="preserve">a) über die Mitwirkungspflichten §§ 140, 145 bis 149, § 150 Abs. 1 bis 5, §§ 151 bis 153,</w:t>
      </w:r>
    </w:p>
    <w:p>
      <w:r>
        <w:t xml:space="preserve">b) über das Festsetzungs- und Feststellungsverfahren § 155, § 156 Abs. 2, §§ 157 bis 160, 162, § 163 Satz 1 und 3, § 164, § 165 Abs. 1 und 2, §§ 166 bis 168, § 169 mit der Maßgabe, dass die Festsetzungsfrist nach Absatz 2 Satz 1 einheitlich 4 Jahre beträgt, § 170 Abs. 1 bis 3, § 171 Abs. 1 bis 3 a mit der Maßgabe, dass in Absatz 3 die Wörter „Einspruchs- und Klageverfahrens“ durch die Wörter „Widerspruchs- und Klageverfahrens“ und in Absatz 3 a Satz 1 das Wort „Einspruch“ durch das Wort „Widerspruch“ und in Satz 3 die Wörter „§ 100 Abs. 1 Satz 1, Abs. 2 Satz 2, Abs. 3 Satz 1, § 101 der Finanzgerichtsordnung“ durch die Wörter „§ 113 Abs. 1 Satz 1, Abs. 2 Satz 2, Abs. 3 Satz 1 und Abs. 5 der Verwaltungsgerichtsordnung“ ersetzt werden, ferner Abs. 7 bis 14, §§ 191,192,</w:t>
      </w:r>
    </w:p>
    <w:p>
      <w:r>
        <w:t xml:space="preserve">5. aus dem Fünften Teil - Erhebungsverfahren -</w:t>
      </w:r>
    </w:p>
    <w:p>
      <w:r>
        <w:t xml:space="preserve">a) über die Verwirklichung, die Fälligkeit und das Erlöschen von Ansprüchen aus dem Steuerschuldverhältnis §§ 218, 219, 221 bis 223, § 224 Abs. 1 und 2, §§ 225 bis 232,</w:t>
      </w:r>
    </w:p>
    <w:p>
      <w:r>
        <w:t xml:space="preserve">b) über die Verzinsung und die Säumniszuschläge §§ 233, 234 Abs. 1 und 2, § 235, § 236 mit der Maßgabe, dass in Absatz 3 an die Stelle der Wörter „§ 137 Satz 1 der Finanzgerichtsordnung“ die Wörter „§ 155 Abs. 4 der Verwaltungsgerichtsordnung“ treten, § 237 Abs. 1, 2, 4 und 5 mit der Maßgabe, dass in Absatz 1 an die Stelle der Wörter „Einspruch“ und „Einspruchsentscheidung“ die Wörter „Widerspruch“ und „Widerspruchsbescheid“ treten und an die Stelle der Wörter „förmlichen außergerichtlichen“ und in Absatz 2 an die Stelle der Wörter „außergerichtlichen Rechtsbehelfs“ jeweils das Wort „Widerspruchs“ tritt sowie in Absatz 4 die Wörter „und 3 gelten“ durch das Wort „gilt“ ersetzt werden, §§ 238 bis 240,</w:t>
      </w:r>
    </w:p>
    <w:p>
      <w:r>
        <w:t xml:space="preserve">c) über die Sicherheitsleistung §§ 241 bis 248,</w:t>
      </w:r>
    </w:p>
    <w:p>
      <w:r>
        <w:t xml:space="preserve">6. aus dem Sechsten Teil - Vollstreckung -</w:t>
      </w:r>
    </w:p>
    <w:p>
      <w:r>
        <w:t xml:space="preserve">a) über die Allgemeinen Vorschriften § 251 Abs. 2 und 3, § 254 Abs. 2,</w:t>
      </w:r>
    </w:p>
    <w:p>
      <w:r>
        <w:t xml:space="preserve">b) über die Vollstreckung wegen Geldforderungen § 261.</w:t>
      </w:r>
    </w:p>
    <w:p>
      <w:r>
        <w:t xml:space="preserve">(2) Auf Kommunalabgaben sind ferner die §§ 1, 2, 8, § 10 Abs. 1 mit der Maßgabe, daß in Satz 2 an die Stelle der Vorschriften der Reichsabgabenordnung die bisherigen Vorschriften des Kommunalabgabengesetzes treten, § 11, jedoch ohne die Verweisung auf die §§ 72 und 76 der Abgabenordnung, § 14, § 15 Abs, 1 und 3 sowie § 16 Abs. 1 des Artikels 97 des Einführungsgesetzes zur Abgabenordnung in der jeweiligen Fassung entsprechend anzuwenden, soweit nicht dieses Gesetz oder andere Bundes- oder Landesgesetze besondere Vorschriften enthalten.</w:t>
      </w:r>
    </w:p>
    <w:p>
      <w:r>
        <w:t xml:space="preserve">(3) Die Vorschriften der Absätze 1 und 2 gelten entsprechend für Verspätungszuschläge, Zinsen und Säumniszuschläge (abgabenrechtliche Nebenleistungen) sowie für die Ersatzansprüche nach § 5 Abs. 7 und § 10 Abs. 1 und 2. dieses Gesetzes.</w:t>
      </w:r>
    </w:p>
    <w:p>
      <w:r>
        <w:t xml:space="preserve">(4) Bei der Anwendung der in den Absätzen 1 und 2 genannten Vorschriften tritt jeweils an die Stelle</w:t>
      </w:r>
    </w:p>
    <w:p>
      <w:r>
        <w:t xml:space="preserve">a) der Finanzbehörde oder des Finanzamtes die Körperschaft, der die Abgabe zusteht,</w:t>
      </w:r>
    </w:p>
    <w:p>
      <w:r>
        <w:t xml:space="preserve">b) des Wortes ,,Steuer(n)" - allein oder in Wortzusammensetzungen - das Wort ,,Abgabe(n)",</w:t>
      </w:r>
    </w:p>
    <w:p>
      <w:r>
        <w:t xml:space="preserve">c) des Wortes ,,Besteuerung" die Worte ,,Heranziehung zu Abgaben".</w:t>
      </w:r>
    </w:p>
    <w:p>
      <w:r>
        <w:rPr>
          <w:color w:val="555555"/>
          <w:sz w:val="17"/>
        </w:rPr>
        <w:t xml:space="preserve">Zitiervorschlag: § 12 NW_26714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https://recht.nulegal.eu/gesetze/NW_26714/12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NW_26714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