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NW_26714 (Nordrhein-Westfalen) — Kurbeiträge und Fremdenverkehrsbeiträge</w:t>
      </w:r>
    </w:p>
    <w:p>
      <w:r>
        <w:rPr>
          <w:color w:val="555555"/>
          <w:sz w:val="18"/>
        </w:rPr>
        <w:t xml:space="preserve">KAG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die nach dem Kurortegesetz ganz oder teilweise als Kurort anerkannt sind, können für die Herstellung, Anschaffung, Erweiterung und Unterhaltung der zu Heil- oder Kurzwecken in dem anerkannten Gebiet bereitgestellten Einrichtungen und Anlagen sowie für die zu diesem Zweck durchgeführten Veranstaltungen einen Kurbeitrag erheben. Ist Träger der in Satz 1 genannten Einrichtungen und Anlagen ganz oder überwiegend ein Gemeindeverband, so kann nur dieser den Kurbeitrag erheben; die Satzung kann in diesem Falle bestimmen, daß die Gemeinde einen angemessenen Anteil an dem Kurbeitragsaufkommen für ihre eigenen Aufwendungen im Sinne des Satzes 1 erhält.</w:t>
      </w:r>
    </w:p>
    <w:p>
      <w:r>
        <w:t xml:space="preserve">(2) Der Kurbeitrag wird von den Personen, die in dem nach Absatz 1 Satz 1 anerkannten Gebiet Unterkunft nehmen, ohne in ihm die alleinige Wohnung oder die Hauptwohnung im Sinne des § 21 Absatz 1 des Bundesmeldegesetzes vom 3. Mai 2013 (BGBl. I S. 1084) in der jeweils geltenden Fassung zu haben, als Gegenleistung dafür erhoben, daß ihnen die Möglichkeit geboten wird, die Einrichtungen und Anlagen in Anspruch zu nehmen und an den Veranstaltungen teilzunehmen; die Satzung kann an die Stelle der Hauptwohnung im Sinne des § 21 Absatz 1 des Bundesmeldegesetzes vom 3. Mai 2013 (BGBl. I S. 1084) in der jeweils geltenden Fassung den Wohnsitz im Sinne der §§ 7 bis 11 des Bürgerlichen Gesetzbuches setzen. Der Kurbeitrag kann auch von Personen erhoben werden, die in der Gemeinde außerhalb des nach Absatz 1 Satz 1 anerkannten Gebietes zu Heil- oder Kurzwecken Unterkunft nehmen. Er kann ferner erhoben werden von Personen, die in den dazu geschaffenen Einrichtungen zu Heil- oder Kurzwecken betreut werden, ohne in der Gemeinde Unterkunft zu nehmen. Die Kurbeiträge nach den Sätzen 2 und 3 können niedriger als die nach Satz 1 festgesetzt werden. § 6 bleibt unberührt.</w:t>
      </w:r>
    </w:p>
    <w:p>
      <w:r>
        <w:t xml:space="preserve">(3) Wer Personen zu Heil- oder Kurzwecken gegen Entgelt beherbergt, wer ihnen als Grundeigentümer Unterkunftsmöglichkeiten in eigenen Wohngelegenheiten, z. B. Fahrzeugen oder Zelten, gewährt oder wer sie in den Fällen des Absatzes 2 Satz 3 in eigenen Einrichtungen betreut, kann durch die Satzung verpflichtet werden, diese Personen der Gemeinde oder dem Gemeindeverband zu melden, den Kurbeitrag einzuziehen und an die Gemeinde oder den Gemeindeverband abzuliefern; er haftet insoweit für den Kurbeitrag.</w:t>
      </w:r>
    </w:p>
    <w:p>
      <w:r>
        <w:t xml:space="preserve">(4) Die Gemeinden, die nach dem Kurortegesetz ganz oder teilweise als Kurort oder als Erholungsort anerkannt sind sowie die Gemeinden, in denen die Zahl der Fremdübernachtungen im Jahr in der Regel das Siebenfache der Einwohnerzahl übersteigt, können für die Fremdenverkehrswerbung und für die Herstellung, Anschaffung, Erweiterung und Unterhaltung der zu Fremdenverkehrszwecken bereitgestellten Einrichtungen und Anlagen sowie für die zu diesem Zweck durchgeführten Veranstaltungen einen Fremdenverkehrsbeitrag erheben. §6 bleibt unberührt.</w:t>
      </w:r>
    </w:p>
    <w:p>
      <w:r>
        <w:t xml:space="preserve">(5) Der Fremdenverkehrsbeitrag wird von den Personen und den Unternehmen erhoben, denen durch den Fremdenverkehr unmittelbar oder mittelbar besondere wirtschaftliche Vorteile geboten werden. Die Beitragspflicht erstreckt sich auch auf solche Personen und Unternehmen, die, ohne in der Gemeinde ihre Wohnung oder ihren Betriebssitz zu haben, vorübergehend in der Gemeinde erwerbstätig sind. Die Gemeinden können die Erhebung des Fremdenverkehrsbeitrages auf ein nach ihren örtlichen Verhältnissen durch Satzung bestimmtes Gebiet beschränken.</w:t>
      </w:r>
    </w:p>
    <w:p>
      <w:r>
        <w:t xml:space="preserve">III. Teil</w:t>
      </w:r>
    </w:p>
    <w:p>
      <w:r>
        <w:t xml:space="preserve">Verwaltungsverfahren</w:t>
      </w:r>
    </w:p>
    <w:p>
      <w:r>
        <w:rPr>
          <w:color w:val="555555"/>
          <w:sz w:val="17"/>
        </w:rPr>
        <w:t xml:space="preserve">Zitiervorschlag: § 11 NW_26714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https://recht.nulegal.eu/gesetze/NW_26714/11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