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NW_26698 (Nordrhein-Westfalen)</w:t>
      </w:r>
    </w:p>
    <w:p>
      <w:r>
        <w:rPr>
          <w:color w:val="555555"/>
          <w:sz w:val="18"/>
        </w:rPr>
        <w:t xml:space="preserve">Verordnung über die nach dem Gesetz über die Beschränkung von Grundeigentum für die militärische Verteidigung (Schutzbereichgesetz) zuständigen Festsetzungsbehörden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Februar 1957</w:t>
      </w:r>
    </w:p>
    <w:p>
      <w:r>
        <w:t xml:space="preserve">Auf Grund des § 17 des Schutzbereichgesetzes vom 7. Dezember 1956 (BGBl. I S. 899) wird verordnet:</w:t>
      </w:r>
    </w:p>
    <w:p>
      <w:r>
        <w:rPr>
          <w:color w:val="555555"/>
          <w:sz w:val="17"/>
        </w:rPr>
        <w:t xml:space="preserve">Zitiervorschlag: Volltext NW_26698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https://recht.nulegal.eu/gesetze/NW_26698/volltext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