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NW_26698 (Nordrhein-Westfalen)</w:t>
      </w:r>
    </w:p>
    <w:p>
      <w:r>
        <w:rPr>
          <w:color w:val="555555"/>
          <w:sz w:val="18"/>
        </w:rPr>
        <w:t xml:space="preserve">Verordnung über die nach dem Gesetz über die Beschränkung von Grundeigentum für die militärische Verteidigung (Schutzbereichgesetz) zuständigen Festsetzungsbehörden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 für die Festsetzung der Entschädigung nach dem Schutzbereichgesetz sind die kreisfreien Städte und die Kreise.</w:t>
      </w:r>
    </w:p>
    <w:p>
      <w:r>
        <w:rPr>
          <w:color w:val="555555"/>
          <w:sz w:val="17"/>
        </w:rPr>
        <w:t xml:space="preserve">Zitiervorschlag: § 1 NW_26698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https://recht.nulegal.eu/gesetze/NW_26698/1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