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NW_26696 (Nordrhein-Westfalen)</w:t>
      </w:r>
    </w:p>
    <w:p>
      <w:r>
        <w:rPr>
          <w:color w:val="555555"/>
          <w:sz w:val="18"/>
        </w:rPr>
        <w:t xml:space="preserve">Verordnung zur Regelung der Zuständigkeiten nach dem Unterhaltssicherungsgesetz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2. September 1980</w:t>
      </w:r>
    </w:p>
    <w:p>
      <w:r>
        <w:t xml:space="preserve">Aufgrund des § 17 Abs. 2 des Unterhaltssicherungsgesetzes - USG - in der Fassung der Bekanntmachung vom 8. März 1975 (BGBl. I S. 661), zuletzt geändert durch Gesetz vom 25. Juni 1980 (BGBl. I S. 729), und des § 36 Abs. 2 Satz 1 des Gesetzes über Ordnungswidrigkeiten (OWiG) in der Fassung der Bekanntmachung vom 2. Januar 1975 (BGBl. I S. 80), zuletzt geändert durch Gesetz vom 5. Oktober 1978 (BGBl. I S. 1645), wird verordnet:</w:t>
      </w:r>
    </w:p>
    <w:p>
      <w:r>
        <w:rPr>
          <w:color w:val="555555"/>
          <w:sz w:val="17"/>
        </w:rPr>
        <w:t xml:space="preserve">Zitiervorschlag: Volltext NW_26696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https://recht.nulegal.eu/gesetze/NW_26696/volltext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NW_26696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