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NW_26696 (Nordrhein-Westfalen)</w:t>
      </w:r>
    </w:p>
    <w:p>
      <w:r>
        <w:rPr>
          <w:color w:val="555555"/>
          <w:sz w:val="18"/>
        </w:rPr>
        <w:t xml:space="preserve">Verordnung zur Regelung der Zuständigkeiten nach dem Unterhaltssicherungsgesetz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24 des Unterhaltssicherungsgesetzes wird den Ordnungsbehörden der Großen kreisangehörigen Städte, im übrigen den Kreisordnungsbehörden übertragen.</w:t>
      </w:r>
    </w:p>
    <w:p>
      <w:r>
        <w:rPr>
          <w:color w:val="555555"/>
          <w:sz w:val="17"/>
        </w:rPr>
        <w:t xml:space="preserve">Zitiervorschlag: § 2 NW_26696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