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NW_26696 (Nordrhein-Westfalen)</w:t>
      </w:r>
    </w:p>
    <w:p>
      <w:r>
        <w:rPr>
          <w:color w:val="555555"/>
          <w:sz w:val="18"/>
        </w:rPr>
        <w:t xml:space="preserve">Verordnung zur Regelung der Zuständigkeiten nach dem Unterhaltssicherungsgesetz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Zuständig für die Feststellung und Bewilligung der Leistungen zur Unterhaltssicherung nach dem Unterhaltssicherungsgesetz sind die kreisfreien Städte, die großen kreisangehörigen Städte und für die übrigen kreisangehörigen Gemeinden die Kreise.</w:t>
      </w:r>
    </w:p>
    <w:p>
      <w:r>
        <w:t xml:space="preserve">(2) Örtlich zuständig ist die Behörde, in deren Bezirk der Wehrpflichtige bei seiner Einberufung seinen Wohnsitz oder - in Ermangelung eines solchen - seinen ständigen Aufenthalt hatte.</w:t>
      </w:r>
    </w:p>
    <w:p>
      <w:r>
        <w:rPr>
          <w:color w:val="555555"/>
          <w:sz w:val="17"/>
        </w:rPr>
        <w:t xml:space="preserve">Zitiervorschlag: § 1 NW_26696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https://recht.nulegal.eu/gesetze/NW_26696/1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