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NW_26695 (Nordrhein-Westfalen)</w:t>
      </w:r>
    </w:p>
    <w:p>
      <w:r>
        <w:rPr>
          <w:color w:val="555555"/>
          <w:sz w:val="18"/>
        </w:rPr>
        <w:t xml:space="preserve">Verordnung zur Bestimmung der für die Verfolgung und Ahndung von Ordnungswidrigkeiten nach § 9 Rundfunkgebührenstaatsvertrag -Artikel 4 des Staatsvertrags über den Rundfunk im vereinten Deutschland vom 31. August 1991- zuständigen Verwaltungsbehörden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November 1993</w:t>
      </w:r>
    </w:p>
    <w:p>
      <w:r>
        <w:t xml:space="preserve">Aufgrund des § 36 Abs. 2 Satz 1 des Ordnungswidrigkeitengesetzes in der Fassung der Bekanntmachung vom 19. Februar 1987 (BGBl. I S. 602), zuletzt geändert durch das Gesetz vom 15. Juli 1992 (BGBl. I S. 1302), wird verordnet:</w:t>
      </w:r>
    </w:p>
    <w:p>
      <w:r>
        <w:rPr>
          <w:color w:val="555555"/>
          <w:sz w:val="17"/>
        </w:rPr>
        <w:t xml:space="preserve">Zitiervorschlag: Volltext NW_26695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https://recht.nulegal.eu/gesetze/NW_26695/volltext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