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NW_26695 (Nordrhein-Westfalen)</w:t>
      </w:r>
    </w:p>
    <w:p>
      <w:r>
        <w:rPr>
          <w:color w:val="555555"/>
          <w:sz w:val="18"/>
        </w:rPr>
        <w:t xml:space="preserve">Verordnung zur Bestimmung der für die Verfolgung und Ahndung von Ordnungswidrigkeiten nach § 9 Rundfunkgebührenstaatsvertrag -Artikel 4 des Staatsvertrags über den Rundfunk im vereinten Deutschland vom 31. August 1991-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nach § 9 Rundfunkgebührenstaatsvertrag (Artikel 4 des Staatsvertrags über den Rundfunk im vereinten Deutschland vom 31. August 1991 - GV. NW. S. 408 -) wird den örtlichen Ordnungsbehörden übertragen.</w:t>
      </w:r>
    </w:p>
    <w:p>
      <w:r>
        <w:rPr>
          <w:color w:val="555555"/>
          <w:sz w:val="17"/>
        </w:rPr>
        <w:t xml:space="preserve">Zitiervorschlag: § 1 NW_26695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https://recht.nulegal.eu/gesetze/NW_26695/1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NW_26695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