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NW_26689 (Nordrhein-Westfalen)</w:t>
      </w:r>
    </w:p>
    <w:p>
      <w:r>
        <w:rPr>
          <w:color w:val="555555"/>
          <w:sz w:val="18"/>
        </w:rPr>
        <w:t xml:space="preserve">Verordnung zur Bestimmung der für die Verfolgung und Ahndung von Verkehrsordnungswidrigkeiten zuständigen Verwaltungsbehörden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25. September 1979</w:t>
      </w:r>
    </w:p>
    <w:p>
      <w:r>
        <w:t xml:space="preserve">Auf Grund des § 26 Abs. 1 Satz 1 des Straßenverkehrsgesetzes vom 19. Dezember 1952 (BGBl. I S. 837), zuletzt geändert durch Gesetz vom 3. August 1978 (BGBl. I S. 1177), und des § 36 Abs. 2 Satz 1 des Gesetzes über Ordnungswidrigkeiten in der Fassung der Bekanntmachung vom 2. Januar 1975 (BGBl. I S. 80), zuletzt geändert durch Gesetz vom 5. Oktober 1978 (BGBl. I S. 1645), wird verordnet:</w:t>
      </w:r>
    </w:p>
    <w:p>
      <w:r>
        <w:rPr>
          <w:color w:val="555555"/>
          <w:sz w:val="17"/>
        </w:rPr>
        <w:t xml:space="preserve">Zitiervorschlag: Volltext NW_26689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https://recht.nulegal.eu/gesetze/NW_26689/volltext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