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NW_26689 (Nordrhein-Westfalen)</w:t>
      </w:r>
    </w:p>
    <w:p>
      <w:r>
        <w:rPr>
          <w:color w:val="555555"/>
          <w:sz w:val="18"/>
        </w:rPr>
        <w:t xml:space="preserve">Verordnung zur Bestimmung der für die Verfolgung und Ahndung von Verkehrsordnungswidrigkeiten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1980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NW_26689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https://recht.nulegal.eu/gesetze/NW_26689/2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