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NW_26689 (Nordrhein-Westfalen)</w:t>
      </w:r>
    </w:p>
    <w:p>
      <w:r>
        <w:rPr>
          <w:color w:val="555555"/>
          <w:sz w:val="18"/>
        </w:rPr>
        <w:t xml:space="preserve">Verordnung zur Bestimmung der für die Verfolgung und Ahndung von Verkehrsordnungswidrigkeiten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Zuständigkeit für die Verfolgung und Ahndung von Ordnungswidrigkeiten nach den §§ 23, 24, 24a und 24c des Straßenverkehrsgesetzes wird den Kreisordnungsbehörden übertragen.</w:t>
      </w:r>
    </w:p>
    <w:p>
      <w:r>
        <w:t xml:space="preserve">(2) Daneben wird die Zuständigkeit für die Verfolgung dieser Ordnungswidrigkeiten auch den Polizeibehörden übertragen, solange sie die Sache nicht an die Kreisordnungsbehörden oder an die Staatsanwaltschaft abgegeben haben.</w:t>
      </w:r>
    </w:p>
    <w:p>
      <w:r>
        <w:t xml:space="preserve">(3) Die Zuständigkeit für die Verfolgung und Ahndung von Ordnungswidrigkeiten im ruhenden Straßenverkehr nach § 24 des Straßenverkehrsgesetzes wird abweichend von Absatz 1 den örtlichen Ordnungsbehörden übertragen. Das gilt nicht für Ordnungswidrigkeiten im ruhenden Straßenverkehr, die durch die Polizeibehörden verfolgt werden.</w:t>
      </w:r>
    </w:p>
    <w:p>
      <w:r>
        <w:t xml:space="preserve">(4) Die Zuständigkeit für die Verfolgung und Ahndung von Ordnungswidrigkeiten nach § 24 des Straßenverkehrsgesetzes, die bei der Überwachung</w:t>
      </w:r>
    </w:p>
    <w:p>
      <w:r>
        <w:t xml:space="preserve">1. der Einhaltung der zulässigen Höchstgeschwindigkeit,</w:t>
      </w:r>
    </w:p>
    <w:p>
      <w:r>
        <w:t xml:space="preserve">2. der Befolgung von Lichtzeichenanlagen im Straßenverkehr und</w:t>
      </w:r>
    </w:p>
    <w:p>
      <w:r>
        <w:t xml:space="preserve">3. der Einhaltung der durch Zeichen 251, 253, 261 und 270.1 der Anlage 2 zu § 41 Absatz 1 der Straßenverkehrs-Ordnung vom 6. März 2013 (BGBl. I S. 367), die zuletzt durch Artikel 2 der Verordnung vom 17. Juni 2016 (BGBl. I S. 1463) geändert worden ist, angeordneten Verbote sowie der im Zusammenhang mit diesen Verboten durch Zeichen 276 und 277 der Anlage 2 zu § 41 Absatz 1 der Straßenverkehrs-Ordnung angeordneten Verbote</w:t>
      </w:r>
    </w:p>
    <w:p>
      <w:r>
        <w:t xml:space="preserve">festgestellt werden, wird neben den in Absatz 1 genannten Behörden auch den Ordnungsbehörden der Großen kreisangehörigen Städten im Sinne von § 4 der Gemeindeordnung für das Land Nordrhein-Westfalen in der Fassung der Bekanntmachung vom 14. Juli 1994 (GV. NRW. S. 666), die zuletzt durch Artikel 2 des Gesetzes vom 25. Juni 2015 (GV. NRW. S. 496) geändert worden ist, übertragen, soweit sie die Ordnungswidrigkeit selbst festgestellt haben.</w:t>
      </w:r>
    </w:p>
    <w:p>
      <w:r>
        <w:rPr>
          <w:color w:val="555555"/>
          <w:sz w:val="17"/>
        </w:rPr>
        <w:t xml:space="preserve">Zitiervorschlag: § 1 NW_26689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https://recht.nulegal.eu/gesetze/NW_26689/1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