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NW_26685 (Nordrhein-Westfalen)</w:t>
      </w:r>
    </w:p>
    <w:p>
      <w:r>
        <w:rPr>
          <w:color w:val="555555"/>
          <w:sz w:val="18"/>
        </w:rPr>
        <w:t xml:space="preserve">Verordnung zur Bestimmung der für den Erlaß von Rechtsverordnungen nach Artikel 297 des Einführungsgesetzes zum Strafgesetzbuch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März 1975</w:t>
      </w:r>
    </w:p>
    <w:p>
      <w:r>
        <w:t xml:space="preserve">Auf Grund des Artikels 297 Abs. 2 des Einführungsgesetzes zum Strafgesetzbuch (EGStGB) vom 2. März 1974 (BGBl. I S 469), zuletzt geändert durch Gesetz vom 9 Dezember 1974 (BGBl. I S. 3393), wird verordnet:</w:t>
      </w:r>
    </w:p>
    <w:p>
      <w:r>
        <w:rPr>
          <w:color w:val="555555"/>
          <w:sz w:val="17"/>
        </w:rPr>
        <w:t xml:space="preserve">Zitiervorschlag: Volltext NW_26685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https://recht.nulegal.eu/gesetze/NW_26685/volltext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