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NW_26685 (Nordrhein-Westfalen)</w:t>
      </w:r>
    </w:p>
    <w:p>
      <w:r>
        <w:rPr>
          <w:color w:val="555555"/>
          <w:sz w:val="18"/>
        </w:rPr>
        <w:t xml:space="preserve">Verordnung zur Bestimmung der für den Erlaß von Rechtsverordnungen nach Artikel 297 des Einführungsgesetzes zum Strafgesetzbuch zuständigen Verwaltungsbehörden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rPr>
          <w:color w:val="555555"/>
          <w:sz w:val="17"/>
        </w:rPr>
        <w:t xml:space="preserve">Zitiervorschlag: § 2 NW_26685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https://recht.nulegal.eu/gesetze/NW_26685/2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