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NW_26683 (Nordrhein-Westfalen)</w:t>
      </w:r>
    </w:p>
    <w:p>
      <w:r>
        <w:rPr>
          <w:color w:val="555555"/>
          <w:sz w:val="18"/>
        </w:rPr>
        <w:t xml:space="preserve">Zweites Gesetz zur Anpassung landesrechtlicher Straf- und Bußgeldvorschriften an das Bundesrecht (Zweites Anpassungsgesetz - 2. AnpG. NW.)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3. Dezember 1974</w:t>
      </w:r>
    </w:p>
    <w:p>
      <w:r>
        <w:t xml:space="preserve">Erster Abschnitt</w:t>
      </w:r>
    </w:p>
    <w:p>
      <w:r>
        <w:t xml:space="preserve">Allgemeine Anpassung von Strafvorschriften</w:t>
      </w:r>
    </w:p>
    <w:p>
      <w:r>
        <w:rPr>
          <w:color w:val="555555"/>
          <w:sz w:val="17"/>
        </w:rPr>
        <w:t xml:space="preserve">Zitiervorschlag: Volltext NW_26683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https://recht.nulegal.eu/gesetze/NW_26683/volltext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