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VI NW_26683 (Nordrhein-Westfalen)</w:t>
      </w:r>
    </w:p>
    <w:p>
      <w:r>
        <w:rPr>
          <w:color w:val="555555"/>
          <w:sz w:val="18"/>
        </w:rPr>
        <w:t xml:space="preserve">Zweites Gesetz zur Anpassung landesrechtlicher Straf- und Bußgeldvorschriften an das Bundesrecht (Zweites Anpassungsgesetz - 2. AnpG. NW.)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Zweiter Abschnitt</w:t>
      </w:r>
    </w:p>
    <w:p>
      <w:r>
        <w:t xml:space="preserve">Änderung von Vorschriften auf dem Gebiete</w:t>
      </w:r>
    </w:p>
    <w:p>
      <w:r>
        <w:t xml:space="preserve">des Rechts der Verwaltung</w:t>
      </w:r>
    </w:p>
    <w:p>
      <w:r>
        <w:rPr>
          <w:color w:val="555555"/>
          <w:sz w:val="17"/>
        </w:rPr>
        <w:t xml:space="preserve">Zitiervorschlag: Art VI NW_26683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https://recht.nulegal.eu/gesetze/NW_26683/vi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