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NW_26678 (Nordrhein-Westfalen)</w:t>
      </w:r>
    </w:p>
    <w:p>
      <w:r>
        <w:rPr>
          <w:color w:val="555555"/>
          <w:sz w:val="18"/>
        </w:rPr>
        <w:t xml:space="preserve">Verordnung über die Zuständigkeit für die Verfolgung und Ahndung von Ordnungswidrigkeiten nach dem Betriebsverfassungsgesetz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12. Juli 1972</w:t>
      </w:r>
    </w:p>
    <w:p>
      <w:r>
        <w:t xml:space="preserve">Auf Grund des § 36 Abs. 2 Satz 1 des Gesetzes über Ordnungswidrigkeiten vom 24. Mai 1968 (BGBl. I S. 481), zuletzt geändert durch Gesetz vom 8. März 1971 (BGBl. I S. 157), wird verordnet:</w:t>
      </w:r>
    </w:p>
    <w:p>
      <w:r>
        <w:rPr>
          <w:color w:val="555555"/>
          <w:sz w:val="17"/>
        </w:rPr>
        <w:t xml:space="preserve">Zitiervorschlag: Volltext NW_26678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https://recht.nulegal.eu/gesetze/NW_26678/volltext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