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NW_26676 (Nordrhein-Westfalen)</w:t>
      </w:r>
    </w:p>
    <w:p>
      <w:r>
        <w:rPr>
          <w:color w:val="555555"/>
          <w:sz w:val="18"/>
        </w:rPr>
        <w:t xml:space="preserve">Gesetz zur Anpassung landesrechtlicher Straf- und Bußgeldvorschriften an das Bundesrecht (Anpassungsgesetz -AnpG. NW.)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Dezember 1969</w:t>
      </w:r>
    </w:p>
    <w:p>
      <w:r>
        <w:t xml:space="preserve">ERSTER ABSCHNITT</w:t>
      </w:r>
    </w:p>
    <w:p>
      <w:r>
        <w:t xml:space="preserve">Änderung von Vorschriften auf dem Gebiete</w:t>
      </w:r>
    </w:p>
    <w:p>
      <w:r>
        <w:t xml:space="preserve">des Staatsrechts</w:t>
      </w:r>
    </w:p>
    <w:p>
      <w:r>
        <w:rPr>
          <w:color w:val="555555"/>
          <w:sz w:val="17"/>
        </w:rPr>
        <w:t xml:space="preserve">Zitiervorschlag: Volltext NW_26676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