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NW_26671 (Nordrhein-Westfalen) — Entschädigung</w:t>
      </w:r>
    </w:p>
    <w:p>
      <w:r>
        <w:rPr>
          <w:color w:val="555555"/>
          <w:sz w:val="18"/>
        </w:rPr>
        <w:t xml:space="preserve">Verordnung über Einigungsstellen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Vorsitzende und die Beisitzer erhalten auf Antrag eine Entschädigung für Fahrtkosten, Aufwand und sonstige Aufwendungen in entsprechender Anwendung der §§ 5 bis 7 des Gesetzes über die Vergütung von Sachverständigen, Dolmetscherinnen, Dolmetschern, Übersetzerinnen und Übersetzern sowie die Entschädigung von ehrenamtlichen Richterinnen, ehrenamtlichen Richtern, Zeuginnen, Zeugen und Dritten (Justizvergütungs- und -entschädigungsgesetz - JVEG). Die geschäftsführende Industrie- und Handelskammer kann dem Vorsitzenden und den Beisitzern auf Antrag eine Entschädigung für deren Zeitversäumnis in entsprechender Anwendung der §§ 15 bis 18 des Justizvergütungs- und -entschädigungsgesetzes gewähren.</w:t>
      </w:r>
    </w:p>
    <w:p>
      <w:r>
        <w:t xml:space="preserve">(2) Die Entschädigung für Zeitversäumnis des Vorsitzenden kann bis auf das Zweifache der nach §§ 15 bis 18 des Justizvergütungs- und -entschädigungsgesetzes zulässigen Höhe angehoben werden.</w:t>
      </w:r>
    </w:p>
    <w:p>
      <w:r>
        <w:t xml:space="preserve">(3) Zeugen und Sachverständige, die mit Zustimmung der Einigungsstelle erschienen oder angehört worden sind, erhalten von der geschäftsführenden Industrie- und Handelskammer auf Antrag eine Entschädigung bzw. Vergütung nach dem Justizvergütungs- und -entschädigungsgesetz.</w:t>
      </w:r>
    </w:p>
    <w:p>
      <w:r>
        <w:rPr>
          <w:color w:val="555555"/>
          <w:sz w:val="17"/>
        </w:rPr>
        <w:t xml:space="preserve">Zitiervorschlag: § 11 NW_26671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https://recht.nulegal.eu/gesetze/NW_26671/11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