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NW_26671 (Nordrhein-Westfalen) — Errichtung und Geschäftsführung</w:t>
      </w:r>
    </w:p>
    <w:p>
      <w:r>
        <w:rPr>
          <w:color w:val="555555"/>
          <w:sz w:val="18"/>
        </w:rPr>
        <w:t xml:space="preserve">Verordnung über Einigungsstellen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den Industrie- und Handelskammern werden für deren Bezirke Einigungsstellen zur Beilegung von bürgerlichen Rechtsstreitigkeiten, in denen ein Anspruch aufgrund des Gesetzes gegen den unlauteren Wettbewerb geltend gemacht wird (§ 15 Abs. 1 des Gesetzes gegen den unlauteren Wettbewerb vom 3. Juli 2004, BGBl. I S. 1414), errichtet. Mehrere Industrie- und Handelskammern können mit Zustimmung der Aufsichtsbehörde (§ 2) eine gemeinsame Einigungsstelle bilden.</w:t>
      </w:r>
    </w:p>
    <w:p>
      <w:r>
        <w:t xml:space="preserve">(2) Die Industrie- und Handelskammer, bei der eine Einigungsstelle errichtet ist, führt deren Geschäfte (geschäftsführende Industrie- und Handelskammer).</w:t>
      </w:r>
    </w:p>
    <w:p>
      <w:r>
        <w:rPr>
          <w:color w:val="555555"/>
          <w:sz w:val="17"/>
        </w:rPr>
        <w:t xml:space="preserve">Zitiervorschlag: § 1 NW_26671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https://recht.nulegal.eu/gesetze/NW_26671/1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