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NW_26663 (Nordrhein-Westfalen)</w:t>
      </w:r>
    </w:p>
    <w:p>
      <w:r>
        <w:rPr>
          <w:color w:val="555555"/>
          <w:sz w:val="18"/>
        </w:rPr>
        <w:t xml:space="preserve">Verordnung über die zuständigen Behörden nach § 2 Abs. 2, § 14 und § 17 Satz 2 des Adoptionsvermittlungsgesetzes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14 AdVermiG wird den Kreisen und kreisfreien Städten übertragen.</w:t>
      </w:r>
    </w:p>
    <w:p>
      <w:r>
        <w:rPr>
          <w:color w:val="555555"/>
          <w:sz w:val="17"/>
        </w:rPr>
        <w:t xml:space="preserve">Zitiervorschlag: § 2 NW_26663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https://recht.nulegal.eu/gesetze/NW_26663/2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