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NW_26662 (Nordrhein-Westfalen)</w:t>
      </w:r>
    </w:p>
    <w:p>
      <w:r>
        <w:rPr>
          <w:color w:val="555555"/>
          <w:sz w:val="18"/>
        </w:rPr>
        <w:t xml:space="preserve">Verordnung über die Zuständigkeit im Fundrecht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im Sinne der §§ 965 bis 967 und 973 bis 976 des Bürgerlichen Gesetzbuches ist die örtliche Ordnungsbehörde.</w:t>
      </w:r>
    </w:p>
    <w:p>
      <w:r>
        <w:rPr>
          <w:color w:val="555555"/>
          <w:sz w:val="17"/>
        </w:rPr>
        <w:t xml:space="preserve">Zitiervorschlag: § 1 NW_26662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https://recht.nulegal.eu/gesetze/NW_26662/1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