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NW_26658 (Nordrhein-Westfalen) — Beschaffenheit</w:t>
      </w:r>
    </w:p>
    <w:p>
      <w:r>
        <w:rPr>
          <w:color w:val="555555"/>
          <w:sz w:val="18"/>
        </w:rPr>
        <w:t xml:space="preserve">NachbG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Nachbarwand ist in der für ihren Zweck erforderlichen Art und Dicke auszuführen.</w:t>
      </w:r>
    </w:p>
    <w:p>
      <w:r>
        <w:t xml:space="preserve">(2) Auf Verlangen des Eigentümers des Nachbargrundstücks ist der Erbauer einer Nachbarwand verpflichtet, die Wand in einer solchen Bauart zu errichten, daß bei der Bebauung des Nachbargrundstücks zusätzliche Baumaßnahmen vermieden werden. Der Eigentümer des Nachbargrundstücks kann das Verlangen nur so lange dem Bauherrn gegenüber stellen, bis der Bauantrag eingereicht ist.</w:t>
      </w:r>
    </w:p>
    <w:p>
      <w:r>
        <w:rPr>
          <w:color w:val="555555"/>
          <w:sz w:val="17"/>
        </w:rPr>
        <w:t xml:space="preserve">Zitiervorschlag: § 9 NW_26658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https://recht.nulegal.eu/gesetze/NW_26658/9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