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NW_26658 (Nordrhein-Westfalen) — Voraussetzungen der Errichtung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Eigentümer eines Grundstücks darf eine Nachbarwand errichten, wenn</w:t>
      </w:r>
    </w:p>
    <w:p>
      <w:r>
        <w:t xml:space="preserve">1. die Bebauung seines und des benachbarten Grundstücks bis an die Grenze vorgeschrieben oder zugelassen ist und</w:t>
      </w:r>
    </w:p>
    <w:p>
      <w:r>
        <w:t xml:space="preserve">2. der Eigentümer des Nachbargrundstücks schriftlich einwilligt.</w:t>
      </w:r>
    </w:p>
    <w:p>
      <w:r>
        <w:rPr>
          <w:color w:val="555555"/>
          <w:sz w:val="17"/>
        </w:rPr>
        <w:t xml:space="preserve">Zitiervorschlag: § 8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