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NW_26658 (Nordrhein-Westfalen) — Ausschluß des Beseitigungsanspruchs</w:t>
      </w:r>
    </w:p>
    <w:p>
      <w:r>
        <w:rPr>
          <w:color w:val="555555"/>
          <w:sz w:val="18"/>
        </w:rPr>
        <w:t xml:space="preserve">NachbG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den Ausschluß des Anspruchs auf Beseitigung einer der in § 4 Abs. 1 genannten Einrichtungen oder eines Gebäudes, mit denen ein geringerer als der vorgeschriebene Abstand (§ 4 Abs. 1, 2) eingehalten wird, gilt § 3 entsprechend.</w:t>
      </w:r>
    </w:p>
    <w:p>
      <w:r>
        <w:t xml:space="preserve">III. Abschnitt</w:t>
      </w:r>
    </w:p>
    <w:p>
      <w:r>
        <w:t xml:space="preserve">Nachbarwand</w:t>
      </w:r>
    </w:p>
    <w:p>
      <w:r>
        <w:rPr>
          <w:color w:val="555555"/>
          <w:sz w:val="17"/>
        </w:rPr>
        <w:t xml:space="preserve">Zitiervorschlag: § 6 NW_26658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https://recht.nulegal.eu/gesetze/NW_26658/6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