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53 NW_26658 (Nordrhein-Westfalen) — Übergangsvorschriften</w:t>
      </w:r>
    </w:p>
    <w:p>
      <w:r>
        <w:rPr>
          <w:color w:val="555555"/>
          <w:sz w:val="18"/>
        </w:rPr>
        <w:t xml:space="preserve">NachbG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Umfang von Rechten, die bei Inkrafttreten dieses Gesetzes bestehen, richtet sich - unbeschadet der §§ 2 Buchstabe d) und e), 5 Buchstabe d), 36 Abs. 3 und 45 Abs. 1 Buchstabe e) - nach den Vorschriften dieses Gesetzes.</w:t>
      </w:r>
    </w:p>
    <w:p>
      <w:r>
        <w:t xml:space="preserve">(2) Die Verjährung von Ansprüchen auf Schadensersatz und anderen, auf Geld gerichteten Ansprüchen nach diesem Gesetz, die am 1. Mai 2004 bestehen und noch nicht verjährt sind, richtet sich allein nach den Vorschriften des Bürgerlichen Gesetzbuchs. Der Beginn der Verjährung bestimmt sich jedoch für die Zeit vor dem 1. Mai 2004 nach § 51 dieses Gesetzes in der bis zu diesem Tag geltenden Fassung. Ist die Verjährungsfrist nach dem Bürgerlichen Gesetzbuch kürzer als nach § 51 dieses Gesetzes in der bis zum 1. Mai 2004 geltenden Fassung, so wird die kürzere Frist von dem 1. Mai 2004 an berechnet. Läuft jedoch die in § 51 dieses Gesetzes in der bis zum 1. Mai 2004 geltenden Fassung bestimmte längere Frist früher als die im Bürgerlichen Gesetzbuch bestimmte kürzere Frist ab, so ist die Verjährung mit dem Ablauf der längeren Frist vollendet.</w:t>
      </w:r>
    </w:p>
    <w:p>
      <w:r>
        <w:rPr>
          <w:color w:val="555555"/>
          <w:sz w:val="17"/>
        </w:rPr>
        <w:t xml:space="preserve">Zitiervorschlag: § 53 NW_26658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https://recht.nulegal.eu/gesetze/NW_26658/53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53 NW_26658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