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NW_26658 (Nordrhein-Westfalen) — Ausnahmen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 4 Abs. 1 und 2 gilt nicht</w:t>
      </w:r>
    </w:p>
    <w:p>
      <w:r>
        <w:t xml:space="preserve">a) soweit nach öffentlich-rechtlichen Vorschriften anders gebaut werden muß;</w:t>
      </w:r>
    </w:p>
    <w:p>
      <w:r>
        <w:t xml:space="preserve">b) gegenüber Grenzen zu öffentlichen Verkehrsflächen, zu öffentlichen Grünflächen und zu oberirdischen Gewässern von mehr als 3 m Breite (Mittelwasserstand);</w:t>
      </w:r>
    </w:p>
    <w:p>
      <w:r>
        <w:t xml:space="preserve">c) für Stützmauern, Hauseingangstreppen, Kellerlichtschächte; Kellerrampen und Kellertreppen;</w:t>
      </w:r>
    </w:p>
    <w:p>
      <w:r>
        <w:t xml:space="preserve">d) wenn die Einrichtung oder das Gebäude bei Inkrafttreten dieses Gesetzes öffentlich-rechtlich genehmigt ist und die Abstände dem bisherigen Recht entsprechen oder wenn an deren Stelle eine andere Einrichtung oder ein anderes Gebäude tritt, mit denen der Mindestgrenzabstand von 2 m nur in dem bisherigen Umfang unterschritten wird.</w:t>
      </w:r>
    </w:p>
    <w:p>
      <w:r>
        <w:rPr>
          <w:color w:val="555555"/>
          <w:sz w:val="17"/>
        </w:rPr>
        <w:t xml:space="preserve">Zitiervorschlag: § 5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