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NW_26658 (Nordrhein-Westfalen) — Anwendungsbereich des Gesetzes</w:t>
      </w:r>
    </w:p>
    <w:p>
      <w:r>
        <w:rPr>
          <w:color w:val="555555"/>
          <w:sz w:val="18"/>
        </w:rPr>
        <w:t xml:space="preserve">NachbG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Vorschriften dieses Gesetzes gelten - unbeschadet von § 40 - nur, soweit die Beteiligten nichts anderes vereinbaren und eine solche Vereinbarung anderen Vorschriften nicht widerspricht. Die in diesem Gesetz vorgeschriebene Schriftform kann nicht abbedungen werden.</w:t>
      </w:r>
    </w:p>
    <w:p>
      <w:r>
        <w:t xml:space="preserve">(2) Öffentlich-rechtliche Vorschriften werden durch dieses Gesetz nicht berührt.</w:t>
      </w:r>
    </w:p>
    <w:p>
      <w:r>
        <w:rPr>
          <w:color w:val="555555"/>
          <w:sz w:val="17"/>
        </w:rPr>
        <w:t xml:space="preserve">Zitiervorschlag: § 49 NW_26658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https://recht.nulegal.eu/gesetze/NW_26658/49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