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48 NW_26658 (Nordrhein-Westfalen) — Nachträgliche Grenzänderungen</w:t>
      </w:r>
    </w:p>
    <w:p>
      <w:r>
        <w:rPr>
          <w:color w:val="555555"/>
          <w:sz w:val="18"/>
        </w:rPr>
        <w:t xml:space="preserve">NachbG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Rechtmäßigkeit des Abstandes wird durch nachträgliche Grenzänderungen nicht berührt; jedoch gilt § 45 Abs. 3 und 4 entsprechend.</w:t>
      </w:r>
    </w:p>
    <w:p>
      <w:r>
        <w:t xml:space="preserve">XII. Abschnitt</w:t>
      </w:r>
    </w:p>
    <w:p>
      <w:r>
        <w:t xml:space="preserve">Allgemeine Vorschriften</w:t>
      </w:r>
    </w:p>
    <w:p>
      <w:r>
        <w:rPr>
          <w:color w:val="555555"/>
          <w:sz w:val="17"/>
        </w:rPr>
        <w:t xml:space="preserve">Zitiervorschlag: § 48 NW_26658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https://recht.nulegal.eu/gesetze/NW_26658/48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