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43 NW_26658 (Nordrhein-Westfalen) — Verdoppelung der Abstände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doppelten Abstände nach den §§ 41 und 42, höchstens jedoch 6 m, sind einzuhalten gegenüber Grundstücken, die</w:t>
      </w:r>
    </w:p>
    <w:p>
      <w:r>
        <w:t xml:space="preserve">a) landwirtschaftlich, gärtnerisch oder durch Weinbau genutzt oder zu diesen Zwecken vorübergehend nicht genutzt sind und im Außenbereich (§ 19 Abs. 2 des Bundesbaugesetzes) liegen oder</w:t>
      </w:r>
    </w:p>
    <w:p>
      <w:r>
        <w:t xml:space="preserve">b) durch Bebauungsplan der landwirtschaftlichen, gärtnerischen oder weinbaulichen Nutzung vorbehalten sind.</w:t>
      </w:r>
    </w:p>
    <w:p>
      <w:r>
        <w:rPr>
          <w:color w:val="555555"/>
          <w:sz w:val="17"/>
        </w:rPr>
        <w:t xml:space="preserve">Zitiervorschlag: § 43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https://recht.nulegal.eu/gesetze/NW_26658/43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