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NW_26658 (Nordrhein-Westfalen) — Ausnahmen</w:t>
      </w:r>
    </w:p>
    <w:p>
      <w:r>
        <w:rPr>
          <w:color w:val="555555"/>
          <w:sz w:val="18"/>
        </w:rPr>
        <w:t xml:space="preserve">NachbG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§§ 32 bis 38 gelten nicht für Einfriedigungen zwischen Grundstücken und den an sie angrenzenden öffentlichen Verkehrsflächen, öffentlichen Grünflächen und oberirdischen Gewässern.</w:t>
      </w:r>
    </w:p>
    <w:p>
      <w:r>
        <w:t xml:space="preserve">XI. Abschnitt</w:t>
      </w:r>
    </w:p>
    <w:p>
      <w:r>
        <w:t xml:space="preserve">Grenzabstände für Pflanzen</w:t>
      </w:r>
    </w:p>
    <w:p>
      <w:r>
        <w:rPr>
          <w:color w:val="555555"/>
          <w:sz w:val="17"/>
        </w:rPr>
        <w:t xml:space="preserve">Zitiervorschlag: § 39 NW_26658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https://recht.nulegal.eu/gesetze/NW_26658/39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