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38 NW_26658 (Nordrhein-Westfalen) — Kosten der Unterhaltung</w:t>
      </w:r>
    </w:p>
    <w:p>
      <w:r>
        <w:rPr>
          <w:color w:val="555555"/>
          <w:sz w:val="18"/>
        </w:rPr>
        <w:t xml:space="preserve">NachbG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Kosten der Unterhaltung einer Einfriedigung tragen die beteiligten Grundstückseigentümer je zur Hälfte, wenn und sobald für sie oder ihre Rechtsvorgänger die Verpflichtung zur Tragung von Errichtungskosten begründet worden ist.</w:t>
      </w:r>
    </w:p>
    <w:p>
      <w:r>
        <w:t xml:space="preserve">(2) § 37 Abs. 3 gilt entsprechend.</w:t>
      </w:r>
    </w:p>
    <w:p>
      <w:r>
        <w:rPr>
          <w:color w:val="555555"/>
          <w:sz w:val="17"/>
        </w:rPr>
        <w:t xml:space="preserve">Zitiervorschlag: § 38 NW_26658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https://recht.nulegal.eu/gesetze/NW_26658/38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