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NW_26658 (Nordrhein-Westfalen) — Beschaffenheit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Einfriedigung muß ortsüblich sein. Läßt sich eine ortsübliche Einfriedigung nicht feststellen, so ist eine etwa 1,20 m hohe Einfriedigung zu errichten. Schreiben öffentlich-rechtliche Vorschriften eine andere Art der Einfriedigung vor, so tritt diese an die Stelle der in Satz 1 und 2 genannten Einfriedigungsart.</w:t>
      </w:r>
    </w:p>
    <w:p>
      <w:r>
        <w:t xml:space="preserve">(2) Bietet die Einfriedigung gemäß Absatz 1 Satz 1 oder 2 keinen angemessenen Schutz vor Beeinträchtigungen, so hat auf Verlangen des Nachbarn derjenige, von dessen Grundstück die Beeinträchtigungen ausgehen, die Einfriedigung im erforderlichen Umfang auf seine Kosten stärker oder höher auszuführen.</w:t>
      </w:r>
    </w:p>
    <w:p>
      <w:r>
        <w:rPr>
          <w:color w:val="555555"/>
          <w:sz w:val="17"/>
        </w:rPr>
        <w:t xml:space="preserve">Zitiervorschlag: § 35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