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NW_26658 (Nordrhein-Westfalen) — Ausnahmen</w:t>
      </w:r>
    </w:p>
    <w:p>
      <w:r>
        <w:rPr>
          <w:color w:val="555555"/>
          <w:sz w:val="18"/>
        </w:rPr>
        <w:t xml:space="preserve">NachbG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Einfriedigungspflicht besteht nicht, wenn und soweit</w:t>
      </w:r>
    </w:p>
    <w:p>
      <w:r>
        <w:t xml:space="preserve">a) die Grenze mit Gebäuden besetzt ist,</w:t>
      </w:r>
    </w:p>
    <w:p>
      <w:r>
        <w:t xml:space="preserve">b) Einfriedigungen nicht zulässig sind oder</w:t>
      </w:r>
    </w:p>
    <w:p>
      <w:r>
        <w:t xml:space="preserve">c) im Falle des § 32 in dem im Zusammenhang bebauten Ortsteil Einfriedigungen nicht üblich sind.</w:t>
      </w:r>
    </w:p>
    <w:p>
      <w:r>
        <w:rPr>
          <w:color w:val="555555"/>
          <w:sz w:val="17"/>
        </w:rPr>
        <w:t xml:space="preserve">Zitiervorschlag: § 34 NW_26658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https://recht.nulegal.eu/gesetze/NW_26658/34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NW_26658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