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NW_26658 (Nordrhein-Westfalen)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Bauliche Anlagen sind so einzurichten, daß Abwässer und andere Flüssigkeiten nicht auf das Nachbargrundstück übertreten.</w:t>
      </w:r>
    </w:p>
    <w:p>
      <w:r>
        <w:t xml:space="preserve">IX. Abschnitt</w:t>
      </w:r>
    </w:p>
    <w:p>
      <w:r>
        <w:t xml:space="preserve">Bodenerhöhungen, Aufschichtungen und</w:t>
      </w:r>
    </w:p>
    <w:p>
      <w:r>
        <w:t xml:space="preserve">sonstige Anlagen</w:t>
      </w:r>
    </w:p>
    <w:p>
      <w:r>
        <w:rPr>
          <w:color w:val="555555"/>
          <w:sz w:val="17"/>
        </w:rPr>
        <w:t xml:space="preserve">Zitiervorschlag: § 29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