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NW_26658 (Nordrhein-Westfalen) — Inhalt und Umfang</w:t>
      </w:r>
    </w:p>
    <w:p>
      <w:r>
        <w:rPr>
          <w:color w:val="555555"/>
          <w:sz w:val="18"/>
        </w:rPr>
        <w:t xml:space="preserve">NachbG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Eigentümer und die Nutzungsberechtigten müssen dulden, daß ihr Grundstück einschließlich der baulichen Anlagen zum Zwecke von Bau- oder Instandsetzungsarbeiten auf dem Nachbargrundstück vorübergehend betreten und benutzt wird, wenn und soweit</w:t>
      </w:r>
    </w:p>
    <w:p>
      <w:r>
        <w:t xml:space="preserve">1. die Arbeiten anders nicht zweckmäßig oder nur mit unverhältnismäßig hohen Kosten durchgeführt werden können,</w:t>
      </w:r>
    </w:p>
    <w:p>
      <w:r>
        <w:t xml:space="preserve">2. die mit der Duldung verbundenen Nachteile oder Belästigungen nicht außer Verhältnis zu dem von dem Berechtigten erstrebten Vorteil stehen,</w:t>
      </w:r>
    </w:p>
    <w:p>
      <w:r>
        <w:t xml:space="preserve">3. ausreichende Vorkehrungen zur Minderung der Nachteile und Belästigungen getroffen werden und</w:t>
      </w:r>
    </w:p>
    <w:p>
      <w:r>
        <w:t xml:space="preserve">4. das Vorhaben öffentlich-rechtlichen Vorschriften nicht widerspricht.</w:t>
      </w:r>
    </w:p>
    <w:p>
      <w:r>
        <w:t xml:space="preserve">(2) Das Recht ist so schonend wie möglich auszuüben. Es darf nicht zur Unzeit geltend gemacht werden.</w:t>
      </w:r>
    </w:p>
    <w:p>
      <w:r>
        <w:t xml:space="preserve">(3) Für die Anzeige und die Verpflichtung zum Schadensersatz gelten die §§ 16 und 17 entsprechend.</w:t>
      </w:r>
    </w:p>
    <w:p>
      <w:r>
        <w:t xml:space="preserve">(4) Absatz 1 findet auf die Eigentümer öffentlicher Verkehrsflächen keine Anwendung.</w:t>
      </w:r>
    </w:p>
    <w:p>
      <w:r>
        <w:rPr>
          <w:color w:val="555555"/>
          <w:sz w:val="17"/>
        </w:rPr>
        <w:t xml:space="preserve">Zitiervorschlag: § 24 NW_26658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https://recht.nulegal.eu/gesetze/NW_26658/24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