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NW_26658 (Nordrhein-Westfalen) — Einseitige Grenzwand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Bauteile, die in den Luftraum eines Grundstücks übergreifen, sind zu dulden, wenn</w:t>
      </w:r>
    </w:p>
    <w:p>
      <w:r>
        <w:t xml:space="preserve">1. nach den öffentlich-rechtlichen Vorschriften nur auf dem Nachbargrundstück bis an die Grenze gebaut werden darf,</w:t>
      </w:r>
    </w:p>
    <w:p>
      <w:r>
        <w:t xml:space="preserve">2. die übergreifenden Bauteile öffentlich-rechtlich zulässig sind,</w:t>
      </w:r>
    </w:p>
    <w:p>
      <w:r>
        <w:t xml:space="preserve">3. sie die Benutzung des anderen Grundstücks nicht oder nur unwesentlich beeinträchtigen und</w:t>
      </w:r>
    </w:p>
    <w:p>
      <w:r>
        <w:t xml:space="preserve">4. sie nicht zur Vergrößerung der Nutzfläche dienen.</w:t>
      </w:r>
    </w:p>
    <w:p>
      <w:r>
        <w:rPr>
          <w:color w:val="555555"/>
          <w:sz w:val="17"/>
        </w:rPr>
        <w:t xml:space="preserve">Zitiervorschlag: § 23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