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NW_26658 (Nordrhein-Westfalen) — Besondere Gründung der Grenzwand</w:t>
      </w:r>
    </w:p>
    <w:p>
      <w:r>
        <w:rPr>
          <w:color w:val="555555"/>
          <w:sz w:val="18"/>
        </w:rPr>
        <w:t xml:space="preserve">NachbG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Auf Verlangen des Eigentümers des Nachbargrundstücks hat der Erbauer die Grenzwand so zu gründen, daß bei der Bebauung des Nachbargrundstücks zusätzliche Baumaßnahmen vermieden werden.</w:t>
      </w:r>
    </w:p>
    <w:p>
      <w:r>
        <w:t xml:space="preserve">(2) Der Eigentümer des zur Bebauung vorgesehenen Grundstücks hat dem Eigentümer des Nachbargrundstücks unter Übersendung des Bau- und des Lageplans sowie unter Mitteilung des Namens und der Anschrift des Bauherrn schriftlich anzuzeigen, daß eine Grenzwand errichtet werden soll. Die Anzeige an den Nutzungsberechtigten oder den unmittelbaren Besitzer des Nachbargrundstücks genügt, wenn dessen Eigentümer nicht bekannt, nur schwer feststellbar oder unbekannten Aufenthalts ist oder wenn er infolge Aufenthalts im Ausland nicht alsbald erreichbar ist und er auch keinen Vertreter bestellt hat. Wird die Anzeige schuldhaft unterlassen, so hat der Eigentümer des zur Bebauung vorgesehenen Grundstücks dem Eigentümer des Nachbargrundstücks den daraus entstehenden Schaden zu ersetzen.</w:t>
      </w:r>
    </w:p>
    <w:p>
      <w:r>
        <w:t xml:space="preserve">(3) Der Eigentümer des Nachbargrundstücks kann das Verlangen nach Absatz 1 nur innerhalb von zwei Monaten seit Erstattung der Anzeige dem Bauherrn gegenüber stellen.</w:t>
      </w:r>
    </w:p>
    <w:p>
      <w:r>
        <w:t xml:space="preserve">(4) Die durch das Verlangen nach Absatz 1 entstehenden Mehrkosten sind dem Bauherrn zu erstatten, sobald der Vergütungsanspruch des Bauunternehmers gegen den Bauherrn fällig wird. In Höhe der voraussichtlich erwachsenden Mehrkosten ist auf Verlangen binnen zwei Wochen Vorschuß zu leisten. Der Vorschuß ist bis zu seiner Verwendung mit 4% zugunsten des Zahlenden zu verzinsen. Der Anspruch auf die besondere Gründung erlischt, wenn der Vorschuß nicht fristgerecht geleistet wird.</w:t>
      </w:r>
    </w:p>
    <w:p>
      <w:r>
        <w:t xml:space="preserve">(5) Soweit der Bauherr die besondere Gründung auch zum Vorteil seiner baulichen Anlage ausnutzt, beschränkt sich die Erstattungspflicht des Eigentümers des Nachbargrundstücks entsprechend. Bereits erbrachte Leistungen können zurückgefordert werden.</w:t>
      </w:r>
    </w:p>
    <w:p>
      <w:r>
        <w:rPr>
          <w:color w:val="555555"/>
          <w:sz w:val="17"/>
        </w:rPr>
        <w:t xml:space="preserve">Zitiervorschlag: § 21 NW_26658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https://recht.nulegal.eu/gesetze/NW_26658/21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