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NW_26658 (Nordrhein-Westfalen) — Verstärken der Nachbarwand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Jeder Grundstückseigentümer darf die Nachbarwand auf seinem Grundstück auf seine Kosten verstärken. §§ 15 Abs. 2, 16 und 17 gelten entsprechend.</w:t>
      </w:r>
    </w:p>
    <w:p>
      <w:r>
        <w:t xml:space="preserve">IV. Abschnitt</w:t>
      </w:r>
    </w:p>
    <w:p>
      <w:r>
        <w:t xml:space="preserve">Grenzwand</w:t>
      </w:r>
    </w:p>
    <w:p>
      <w:r>
        <w:rPr>
          <w:color w:val="555555"/>
          <w:sz w:val="17"/>
        </w:rPr>
        <w:t xml:space="preserve">Zitiervorschlag: § 18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