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NW_26658 (Nordrhein-Westfalen) — Anzeige</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Recht gemäß § 15 besteht nur, wenn die Absicht, das Recht auszuüben, dem Eigentümer und dem Nutzungsberechtigten des betroffenen Grundstücks mindestens einen Monat vor Beginn der Arbeiten schriftlich angezeigt worden ist.</w:t>
      </w:r>
    </w:p>
    <w:p>
      <w:r>
        <w:t xml:space="preserve">(2) Die Anzeige an einen der Genannten genügt, wenn der andere nicht bekannt, nur schwer feststellbar oder unbekannten Aufenthalts ist oder wenn er infolge Aufenthalts im Ausland nicht alsbald erreichbar ist und er auch keinen Vertreter bestellt hat. Treffen diese Voraussetzungen sowohl für den Eigentümer als auch für den Nutzungsberechtigten zu, so genügt die Anzeige an den unmittelbaren Besitzer.</w:t>
      </w:r>
    </w:p>
    <w:p>
      <w:r>
        <w:rPr>
          <w:color w:val="555555"/>
          <w:sz w:val="17"/>
        </w:rPr>
        <w:t xml:space="preserve">Zitiervorschlag: § 16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