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NW_26658 (Nordrhein-Westfalen) — Besondere Bauart</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Erfordert die spätere bauliche Anlage eine besondere Bauart der Nachbarwand, insbesondere eine tiefere Gründung, so sind die dadurch entstehenden Mehrkosten dem Erbauer der Nachbarwand zu erstatten, sobald gegen diesen der Vergütungsanspruch des Bauunternehmers fällig wird. In Höhe der voraussichtlich erwachsenden Mehrkosten ist auf Verlangen binnen zwei Wochen Vorschuß zu leisten. Der Vorschuß ist bis zu seiner Verwendung mit 4% zugunsten des Zahlenden zu verzinsen. Der Anspruch auf die besondere Bauart erlischt, wenn der Vorschuß nicht fristgerecht geleistet wird.</w:t>
      </w:r>
    </w:p>
    <w:p>
      <w:r>
        <w:t xml:space="preserve">(2) Soweit der Bauherr die besondere Bauart auch zum Vorteil seiner baulichen Anlage ausnutzt, beschränkt sich die Erstattungspflicht des Eigentümers des Nachbargrundstücks entsprechend. Bereits erbrachte Leistungen können zurückgefordert werden.</w:t>
      </w:r>
    </w:p>
    <w:p>
      <w:r>
        <w:rPr>
          <w:color w:val="555555"/>
          <w:sz w:val="17"/>
        </w:rPr>
        <w:t xml:space="preserve">Zitiervorschlag: § 11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