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NW_26643 (Nordrhein-Westfalen) — Mitgliedschaft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 des Versorgungswerks ist jede natürliche Person, die als Rechtsanwalt, Syndikusrechtsanwalt, niedergelassener europäischer Rechtsanwalt, niedergelassener europäischer Syndikusrechtsanwalt oder die nach § 206 der Bundesrechtsanwaltsordnung in der im Bundesgesetzblatt Teil III, Gliederungsnummer 303-8, veröffentlichten bereinigten Fassung, die zuletzt durch Artikel 4 des Gesetzes vom 10. März 2023 (BGBl. 2023 I Nr. 64) geändert worden ist, Mitglied einer der Aufsicht des Landes Nordrhein-Westfalen unterstehenden Rechtsanwaltskammer ist.</w:t>
      </w:r>
    </w:p>
    <w:p>
      <w:r>
        <w:t xml:space="preserve">(2) Die Satzung kann ein Höchsteintrittsalter vorsehen.</w:t>
      </w:r>
    </w:p>
    <w:p>
      <w:r>
        <w:t xml:space="preserve">(3) Die Satzung kann vorsehen, dass</w:t>
      </w:r>
    </w:p>
    <w:p>
      <w:r>
        <w:t xml:space="preserve">1. Mitglieder bei Nachweis einer anderen Versorgung auf Antrag von der Mitgliedschaft oder Beitragspflicht ganz oder teilweise befreit werden;</w:t>
      </w:r>
    </w:p>
    <w:p>
      <w:r>
        <w:t xml:space="preserve">2. Mitglieder bis zum Ablauf von fünf vollen Kalenderjahren</w:t>
      </w:r>
    </w:p>
    <w:p>
      <w:r>
        <w:t xml:space="preserve">a) nach ihrer erstmaligen Zulassung zur Rechtsanwaltschaft,</w:t>
      </w:r>
    </w:p>
    <w:p>
      <w:r>
        <w:t xml:space="preserve">b) nach erstmaliger Aufnahme in eine Rechtsanwaltskammer im Sinne des Absatzes 1 gemäß § 206 der Bundesrechtsanwaltsordnung in der im Bundesgesetzblatt Teil III, Gliederungsnummer 303-8, veröffentlichten bereinigten Fassung in der jeweils geltenden Fassung oder</w:t>
      </w:r>
    </w:p>
    <w:p>
      <w:r>
        <w:t xml:space="preserve">c) nach erstmaliger Erteilung der Erlaubnis im Sinne von § 209 Satz 1 der Bundesrechtsanwaltsordnung;</w:t>
      </w:r>
    </w:p>
    <w:p>
      <w:r>
        <w:t xml:space="preserve">längstens bis zur Vollendung des 45. Lebensjahres teilweise von der Beitragspflicht befreit werden und</w:t>
      </w:r>
    </w:p>
    <w:p>
      <w:r>
        <w:t xml:space="preserve">3. die Mitgliedschaft erhalten bleibt, wenn die Voraussetzungen des Absatzes 1 in der Person eines Mitglieds fortfallen.</w:t>
      </w:r>
    </w:p>
    <w:p>
      <w:r>
        <w:rPr>
          <w:color w:val="555555"/>
          <w:sz w:val="17"/>
        </w:rPr>
        <w:t xml:space="preserve">Zitiervorschlag: § 2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