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NW_26643 (Nordrhein-Westfalen) — Inkrafttreten</w:t>
      </w:r>
    </w:p>
    <w:p>
      <w:r>
        <w:rPr>
          <w:color w:val="555555"/>
          <w:sz w:val="18"/>
        </w:rPr>
        <w:t xml:space="preserve">RAVG NW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Dieses Gesetz tritt am Tage nach der Verkündung in Kraft.</w:t>
      </w:r>
    </w:p>
    <w:p>
      <w:r>
        <w:t xml:space="preserve">Die Landesregierung</w:t>
      </w:r>
    </w:p>
    <w:p>
      <w:r>
        <w:t xml:space="preserve">des Landes Nordrhein-Westfalen</w:t>
      </w:r>
    </w:p>
    <w:p>
      <w:r>
        <w:rPr>
          <w:color w:val="555555"/>
          <w:sz w:val="17"/>
        </w:rPr>
        <w:t xml:space="preserve">Zitiervorschlag: § 15 NW_26643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https://recht.nulegal.eu/gesetze/NW_26643/15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