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NW_26633 (Nordrhein-Westfalen)</w:t>
      </w:r>
    </w:p>
    <w:p>
      <w:r>
        <w:rPr>
          <w:color w:val="555555"/>
          <w:sz w:val="18"/>
        </w:rPr>
        <w:t xml:space="preserve">Verordnung über die grundbuchmäßige Behandlung der Waldgenossenschaften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mehrere Grundstücke desselben Gemeinschaftsvermögens (Gesamthandsgemeinschaft) ist ein gemeinschaftliches Grundbuchblatt zu führen.</w:t>
      </w:r>
    </w:p>
    <w:p>
      <w:r>
        <w:t xml:space="preserve">(2) Die Anteilgrundbücher erhalten die nächsten fortlaufenden Nummern des Grundbuchs, in dem die zum Gemeinschaftsvermögen gehörenden Grundstücke eingetragen sind.</w:t>
      </w:r>
    </w:p>
    <w:p>
      <w:r>
        <w:rPr>
          <w:color w:val="555555"/>
          <w:sz w:val="17"/>
        </w:rPr>
        <w:t xml:space="preserve">Zitiervorschlag: § 2 NW_26633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